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Пульмонология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05:35 МСК · База обновлена: 22.07.2026, 13:45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Пульмонология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Мужчина, 60 лет, был госпитализирован с обострением хронического бронхита и с ухудшением ИБС, переходом фибрилляции предсердий постоянной формы из нормосистолии в тахисистолию.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Приступообразный кашель с мокротой светлого цвета, с эпизодами кровохарканья, кашель периодически переходил в одышку, общая слабость, сердцебиение.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 остро, вечером после работы (была повышенная физическая нагрузка, менял колеса у машины) возник приступ кашля с мокротой светлого цвета, был эпизод кровохарканья, иногда кашель переходил в одышку, появилась общая слабость, сердцебиение. Пациент стал принимать лазолван и лечиться народными средствами (мед, молоко). Самочувствие в течение двух недель не улучшилось, кашель сохранялся, было несколько повторных эпизодов кровохарканья, эпизодически чувствовал сердцебиение. После очередного эпизода кровохарканья обратился к участковому врачу, был госпитализирован.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ИБС: атеросклеротический кардиосклероз, фибрилляция предсердий постоянная форма, (постоянно принимает эгилок), хронический бронхит (постоянной терапии нет)</w:t>
      </w:r>
    </w:p>
    <w:p>
      <w:pPr>
        <w:spacing w:after="58"/>
      </w:pPr>
      <w:r>
        <w:rPr>
          <w:b w:val="0"/>
          <w:i w:val="0"/>
        </w:rPr>
        <w:t>* курит (15 пачек/лет), алкоголем не злоупотребляет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имеет, работает водителем такси.</w:t>
      </w:r>
    </w:p>
    <w:p>
      <w:pPr>
        <w:spacing w:after="58"/>
      </w:pPr>
      <w:r>
        <w:rPr>
          <w:b w:val="0"/>
          <w:i w:val="0"/>
        </w:rPr>
        <w:t>* аллергических реакций не было</w:t>
      </w:r>
    </w:p>
    <w:p>
      <w:pPr>
        <w:spacing w:after="58"/>
      </w:pPr>
      <w:r>
        <w:rPr>
          <w:b w:val="0"/>
          <w:i w:val="0"/>
        </w:rPr>
        <w:t>* отец страдал ГБ, умер от ОНМК; мать страдает ИБС: стенокардией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 состояние средней тяжести. Кожные покровы бледные, небольшой диффузный цианоз. Температура тела 37,7°С. Пульс 120 в минуту, аритмичный, дефицит пульса 10 ударов в минуту. АД 100/60 мм.рт.ст. I тон на верхушке не изменен, акцента II тона над легочной артерией. ЧД 26 в минуту. Грудная клетка обычной формы. Перкуторно ясный легочный звук, притупление в аксиллярной области слева. Там же усиление голосового дрожания. Аускультативно дыхание жесткое, ослабленное в аксиллярной области слева, там же единичные влажные мелкопузырчатые хрипы, также выслушиваются сухие жужжащие рассеянные хрипы. Живот мягкий, безболезненный. Печень не увеличена. Отеков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для постановки диагноза лабораторным методом обследования является определение уровня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фибриногена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D-димера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АЧТВ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D-димера</w:t>
      </w:r>
    </w:p>
    <w:p>
      <w:pPr>
        <w:ind w:left="504"/>
      </w:pPr>
      <w:r>
        <w:rPr>
          <w:b w:val="0"/>
          <w:i/>
        </w:rPr>
        <w:t>Уровень D -димера повышается почти у всех пациентов с ТЭЛА… Низкое значение D-димера с высокой степенью вероятности (85-97%) исключает ТЭЛА… Таким образом, определение D-димера служит скрининговым методом для исключения диагноза ТЭЛА…</w:t>
        <w:br/>
        <w:br/>
        <w:t>Пульмонология. Национальное руководство. Краткое издание / под ред. А. Г. Чучалина. - М. : ГЭОТАР-Медиа, 2020. - 768 с. - ISBN 978-5-9704-5323-0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необходимым для постановки диагноза инструментальным методам обследования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рентгенографию придаточных пазух носа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компьютерную спиральную томографию с контрастированием легочных артерий (ангио КТ)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вентиляционно-перфузионную сцинтиграфию легких (В/П- сцинтиграфию легких)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фибробронхоскопию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фиброгастродуаденоскопию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УЗИ брюшной полости</w:t>
      </w:r>
    </w:p>
    <w:p>
      <w:pPr>
        <w:ind w:left="288"/>
      </w:pPr>
      <w:r>
        <w:rPr>
          <w:b/>
          <w:color w:val="173C49"/>
        </w:rPr>
        <w:t xml:space="preserve">Правильные ответы: </w:t>
      </w:r>
      <w:r>
        <w:rPr>
          <w:b/>
          <w:i w:val="0"/>
        </w:rPr>
        <w:t>2 — компьютерную спиральную томографию с контрастированием легочных артерий (ангио КТ); 3 — вентиляционно-перфузионную сцинтиграфию легких (В/П- сцинтиграфию легких)</w:t>
      </w:r>
    </w:p>
    <w:p>
      <w:pPr>
        <w:ind w:left="504"/>
      </w:pPr>
      <w:r>
        <w:rPr>
          <w:b w:val="0"/>
          <w:i/>
        </w:rPr>
        <w:t>МСКТ с контрастированием легочных артерий является одним из ключевых методов лучевой диагностики ТЭЛА (А, 1+). Метод позволяет достоверно оценить тяжесть гемодинамических расстройств, определить характер и объем эмболического поражения, который оценивается в баллах по Миллеру (тромбоэмболия мелких ветвей легочной артерии — 16 баллов и менее, крупных ветвей — 17 баллов и более; при индексе Миллера, равном или превышающем 27 баллов, — безотлагательное устранение обструкции легочных артерий). При отсутствии характерных изменений при МСКТ ТЭЛА может быть полностью исключена.</w:t>
        <w:br/>
        <w:br/>
        <w:t>Скорая медицинская помощь. Клинические рекомендации / под ред. С. Ф. Багненко. - Москва : ГЭОТАР-Медиа, 2022. - 896 с. - ISBN 978-5-9704-6594-3.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ТЭЛА характерны треугольная форма перфузионного дефекта и соответствие его анатомическим структурам - сегментам или долям легкого; нередко встречают множественные или двусторонние дефекты (рис. 19-3). Следует подчеркнуть, что высокой диагностической ценностью обладает наличие дефектов перфузии при отсутствии нарушений вентиляции, поэтому желательно выполнять вентиляционно-перфузионную сцинтиграфию.</w:t>
        <w:br/>
        <w:br/>
        <w:t>Пульмонология. Национальное руководство. Краткое издание / под ред. А. Г. Чучалина. - М. : ГЭОТАР-Медиа, 2020. - 768 с. - ISBN 978-5-9704-5323-0</w:t>
        <w:br/>
        <w:br/>
      </w: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данные анамнеза, объективного осмотра, лабораторных и инструментальных методов обследования, больному можно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Инфильтративный туберкулез в верхней доле левого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Рак в верхней доле левого легкого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Внебольничная пневмония в верхней доле левого легкого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ТЭЛА с инфаркт пневмонией в верхней доле левого легкого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ТЭЛА с инфаркт пневмонией в верхней доле левого легкого</w:t>
      </w:r>
    </w:p>
    <w:p>
      <w:pPr>
        <w:ind w:left="504"/>
      </w:pPr>
      <w:r>
        <w:rPr>
          <w:b w:val="0"/>
          <w:i/>
        </w:rPr>
        <w:t>Тромбоэмболия легочной артерии (ТЭЛА) (легочная тромбоэмболия, легочная эмболия) — окклюзия просвета основного ствола или ветвей легочной артерии эмболом (тромбом), приводящая к резкому уменьшению кровотока в легких.</w:t>
        <w:br/>
        <w:br/>
        <w:t>Источники ТЭЛА: глубокие вены нижних конечностей, таза, почечные и нижняя полая вены (90%); крайне редко — правые отделы сердца и магистральные вены верхних конечностей.</w:t>
        <w:br/>
        <w:br/>
        <w:t>Скорая медицинская помощь. Клинические рекомендации / под ред. С. Ф. Багненко. - Москва : ГЭОТАР-Медиа, 2022. - 896 с. - ISBN 978-5-9704-6594-3.</w:t>
        <w:br/>
        <w:br/>
      </w:r>
      <w:hyperlink r:id="rId2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У больного множественные ФР развития ТЭЛА: возраст &gt;65 лет, кровохарканье, тахикардия.</w:t>
        <w:br/>
        <w:br/>
        <w:t>Модифицированный индекс Geneva для оценки вероятности ТЭЛА по клиническим данным:</w:t>
        <w:br/>
        <w:br/>
        <w:t>Имеется повышение уровня d-димера, типичное для ТЭЛА.</w:t>
        <w:br/>
        <w:br/>
      </w:r>
      <w:hyperlink r:id="rId26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Характерные изменения на КТ ОГК с контрастом (треугольные дефекты перфузии)</w:t>
        <w:br/>
        <w:br/>
        <w:t>Пульмонология. Национальное руководство. Краткое издание / под ред. А. Г. Чучалина. - М. : ГЭОТАР-Медиа, 2020. - 768 с. - ISBN 978-5-9704-5323-0</w:t>
        <w:br/>
        <w:br/>
      </w:r>
      <w:hyperlink r:id="rId27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и вентиляционно-перфузионной сцинтиграфии (односторонний треугольный дефект перфузии)</w:t>
        <w:br/>
        <w:br/>
      </w:r>
      <w:hyperlink r:id="rId28">
        <w:r>
          <w:rPr>
            <w:color w:val="173C49"/>
            <w:u w:val="single"/>
          </w:rPr>
          <w:t>(2)</w:t>
        </w:r>
      </w:hyperlink>
      <w:r>
        <w:rPr>
          <w:b w:val="0"/>
          <w:i/>
        </w:rPr>
        <w:br/>
        <w:br/>
        <w:t>На основании указанных данных может быть установлен диагноз ТЭЛА.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Необходимым инструментальным методом исследования для поиска источника тромбоэмбола и уточнения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ультразвуковое дуплексное сканирование сосудов шеи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дуплексное сканирование вен нижних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позитронно-эмиссионная компьютерная томография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ультразвуковое исследование органов брюшной полости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ультразвуковое дуплексное сканирование вен нижних конечностей</w:t>
      </w:r>
    </w:p>
    <w:p>
      <w:pPr>
        <w:ind w:left="504"/>
      </w:pPr>
      <w:r>
        <w:rPr>
          <w:b w:val="0"/>
          <w:i/>
        </w:rPr>
        <w:t>К диагностически ценным методам ультразвуковой диагностики относится также ультразвуковое дуплексное сканирование вен нижних конечностей, позволяющее визуализировать тромботические массы в просвете крупных венозных коллекторов</w:t>
        <w:br/>
        <w:br/>
        <w:t>Скорая медицинская помощь. Клинические рекомендации / под ред. С. Ф. Багненко. - Москва : ГЭОТАР-Медиа, 2022. - 896 с. - ISBN 978-5-9704-6594-3.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подозрении на ТЭЛА необходимо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эуфиллин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гепарин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клопидогрел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аспирин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гепарин</w:t>
      </w:r>
    </w:p>
    <w:p>
      <w:pPr>
        <w:ind w:left="504"/>
      </w:pPr>
      <w:r>
        <w:rPr>
          <w:b w:val="0"/>
          <w:i/>
        </w:rPr>
        <w:t>Гепарин служит стандартом для лечения гемодинамически стабильной ТЭЛА. Начинать терапию необходимо с болюсного введения гепарина в дозе 80 ЕД/кг, переходя затем к постоянной внутривенной инфузии в дозе 18 ЕД/ (кг×ч)</w:t>
        <w:br/>
        <w:br/>
        <w:t>Пульмонология. Национальное руководство. Краткое издание / под ред. А. Г. Чучалина. - М. : ГЭОТАР-Медиа, 2020. - 768 с. - ISBN 978-5-9704-5323-0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Для контроля адекватности антикоагулянтной терапии при назначении нефракционного гепарина (НФГ) следует использовать показатель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АЧТВ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АЧТВ</w:t>
      </w:r>
    </w:p>
    <w:p>
      <w:pPr>
        <w:ind w:left="504"/>
      </w:pPr>
      <w:r>
        <w:rPr>
          <w:b w:val="0"/>
          <w:i/>
        </w:rPr>
        <w:t>Гепарин служит стандартом для лечения гемодинамически стабильной ТЭЛА. Начинать терапию необходимо с болюсного введения гепарина в дозе 80 ЕД/кг, переходя затем к постоянной внутривенной инфузии в дозе 18 ЕД/ (кг×ч), титруя дозу таким образом, чтобы АЧТВ удлинилось до 60-80 с.</w:t>
        <w:br/>
        <w:br/>
        <w:t>Пульмонология. Национальное руководство. Краткое издание / под ред. А. Г. Чучалина. - М. : ГЭОТАР-Медиа, 2020. - 768 с. - ISBN 978-5-9704-5323-0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выборе препарата для антикоагулянтной терапии лечения ТЭЛА в большинстве случаев предпочтение отдают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аспирину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викасолу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низкомолекулярному гепарину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нефракционному гепарину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низкомолекулярному гепарину</w:t>
      </w:r>
    </w:p>
    <w:p>
      <w:pPr>
        <w:ind w:left="504"/>
      </w:pPr>
      <w:r>
        <w:rPr>
          <w:b w:val="0"/>
          <w:i/>
        </w:rPr>
        <w:t>Гепарин служит стандартом для лечения гемодинамически стабильной ТЭЛА. Начинать терапию необходимо с болюсного введения гепарина в дозе 80 ЕД/кг, переходя затем к постоянной внутривенной инфузии в дозе 18 ЕД/ (кг×ч)</w:t>
        <w:br/>
        <w:br/>
        <w:t>Пульмонология. Национальное руководство. Краткое издание / под ред. А. Г. Чучалина. - М. : ГЭОТАР-Медиа, 2020. - 768 с. - ISBN 978-5-9704-5323-0</w:t>
        <w:br/>
        <w:br/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Нефракционированный гепарин натрия предпочтительнее других антикоагулянтов в случаях сниженных функций почек (клиренс креатинина &lt;30 мл/мин), повышенного риска кровотечений, для пациентов высокого риска с гипотензией, пациентов с избыточной или недостаточной массой тела и пожилых. В остальных случаях можно начинать антикоагулянтную терапию с подкожного введения эноксапарина натрия в дозе 1 мг/кг массы тела или фондапаринукса натрия в дозе 5 мг при массе тела менее 50 кг, 7,5 мг — при массе тела 50–100 кг и 10 мг — при массе тела выше 100 кг (А, 1++). АЧТВ следует поддерживать в пределах 1,5–2,5 верхней границы нормы (ВГН).</w:t>
        <w:br/>
        <w:br/>
        <w:t>Скорая медицинская помощь. Клинические рекомендации / под ред. С. Ф. Багненко. - Москва : ГЭОТАР-Медиа, 2022. - 896 с. - ISBN 978-5-9704-6594-3.</w:t>
        <w:br/>
        <w:br/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последующем для длительного лечения ТЭЛА следует выбрать следующий режим антикоагуляции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пероральный прием ангиопротектора и корректора микроциркуляции (трентала)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парентеральное введение поддерживающих доз антикоагулянтов (клескана и т.д.)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пероральный прием лечебной дозы антикоагулянта (варфарин, прадакса, ксарелто, эликвис)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пероральный прием адекватной дозы антиагреганта (аспирин, клопидогрел)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пероральный прием лечебной дозы антикоагулянта (варфарин, прадакса, ксарелто, эликвис)</w:t>
      </w:r>
    </w:p>
    <w:p>
      <w:pPr>
        <w:ind w:left="504"/>
      </w:pPr>
      <w:r>
        <w:rPr>
          <w:b w:val="0"/>
          <w:i/>
        </w:rPr>
        <w:t>После установления точного диагноза ТЭЛА и начала терапии парентеральными антикоагулянтами у пациентов с гемодинамически стабильной немассивной ТЭЛА можно сразу же начинать терапию пероральными антикоагулянтами</w:t>
        <w:br/>
        <w:br/>
        <w:t>Пульмонология. Национальное руководство. Краткое издание / под ред. А. Г. Чучалина. - М. : ГЭОТАР-Медиа, 2020. - 768 с. - ISBN 978-5-9704-5323-0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переходе на длительный прием антагониста витамина К (варфарин) необходимо осуществлять контроль уровня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АЧТВ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МНО</w:t>
      </w:r>
    </w:p>
    <w:p>
      <w:pPr>
        <w:ind w:left="504"/>
      </w:pPr>
      <w:r>
        <w:rPr>
          <w:b w:val="0"/>
          <w:i/>
        </w:rPr>
        <w:t>Для контроля терапии пероральными антикоагулянтами следует пользоваться именно МНО,</w:t>
        <w:br/>
        <w:br/>
        <w:t>Пульмонология. Национальное руководство. Краткое издание / под ред. А. Г. Чучалина. - М. : ГЭОТАР-Медиа, 2020. - 768 с. - ISBN 978-5-9704-5323-0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 препаратам выбора при антибактериальной терапии у пациента с инфаркт пневмонией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пенициллины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макролиды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цефалоспорины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тетрациклин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цефалоспорины</w:t>
      </w:r>
    </w:p>
    <w:p>
      <w:pPr>
        <w:ind w:left="504"/>
      </w:pPr>
      <w:r>
        <w:rPr>
          <w:b w:val="0"/>
          <w:i/>
        </w:rPr>
        <w:t>Антибактериальные препараты имеют особое значение при инфаркте легкого. Предпочтительна группа цефалоспоринов.</w:t>
        <w:br/>
        <w:br/>
        <w:t>Актуальные вопросы кардиологии / под ред. Якушина С. С. - Москва : ГЭОТАР-Медиа, 2019. - 496 с. - ISBN 978-5-9704-5218-9.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Наилучшие результаты тромболитической терапии достигаются при начале ее проведении до  +_____+ дней/ дня от момента эмболизации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2</w:t>
      </w:r>
    </w:p>
    <w:p>
      <w:pPr>
        <w:ind w:left="504"/>
      </w:pPr>
      <w:r>
        <w:rPr>
          <w:b w:val="0"/>
          <w:i/>
        </w:rPr>
        <w:t>Тромболизис - признанный метод лечения массивной ТЭЛА. У гемодинамически нестабильных больных его следует начинать в более ранние сроки, даже на фоне проведения реанимационных мероприятий</w:t>
        <w:br/>
        <w:br/>
        <w:t>Пульмонология. Национальное руководство. Краткое издание / под ред. А. Г. Чучалина. - М. : ГЭОТАР-Медиа, 2020. - 768 с. - ISBN 978-5-9704-5323-0</w:t>
        <w:br/>
        <w:br/>
      </w:r>
      <w:hyperlink r:id="rId35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Чем раньше начата тромболитическая терапия, тем лучше ее результаты. Наилучшие результаты достигаются при длительности заболевания до 48 ч от момента эмболизации.</w:t>
        <w:br/>
        <w:br/>
      </w:r>
      <w:hyperlink r:id="rId36">
        <w:r>
          <w:rPr>
            <w:color w:val="173C49"/>
            <w:u w:val="single"/>
          </w:rPr>
          <w:t>РОССИЙСКИЕ КЛИНИЧЕСКИЕ РЕКОМЕНДАЦИИ ПО ДИАГНОСТИКЕ, ЛЕЧЕНИЮ И ПРОФИЛАКТИКЕ ВЕНОЗНЫХ ТРОМБОЭМБОЛИЧЕСКИХ ОСЛОЖНЕНИЙ (ВТЭО), 2015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Абсолютным противопоказанием к проведению тромболитической терапии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артериальная гипертензия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острый инфекционный процесс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язвенная болезнь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геморрагический инсульт в анамнезе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геморрагический инсульт в анамнезе</w:t>
      </w:r>
    </w:p>
    <w:p>
      <w:pPr>
        <w:ind w:left="504"/>
      </w:pPr>
      <w:r>
        <w:rPr>
          <w:b w:val="0"/>
          <w:i/>
        </w:rPr>
        <w:t>Противопоказания к тромболитической терапии. Абсолютные:</w:t>
        <w:br/>
        <w:br/>
        <w:t>* геморрагический инсульт или инсульт неизвестной этиологии в анамнезе;</w:t>
        <w:br/>
        <w:br/>
        <w:t>* ишемический инсульт в предшествующие 6 мес;</w:t>
        <w:br/>
        <w:br/>
        <w:t>* повреждение или новообразование центральной нервной системы;</w:t>
        <w:br/>
        <w:br/>
        <w:t>* крупная травма или повреждение головы в предшествующие 3 нед;</w:t>
        <w:br/>
        <w:br/>
        <w:t>* операция в предшествующие 10—14 дней;</w:t>
        <w:br/>
        <w:br/>
        <w:t>* желудочно-кишечное кровотечение в предшествующий месяц;</w:t>
        <w:br/>
        <w:br/>
        <w:t>* известный риск кровотечения</w:t>
        <w:br/>
        <w:br/>
        <w:t>Скорая медицинская помощь. Клинические рекомендации / под ред. С. Ф. Багненко. - Москва : ГЭОТАР-Медиа, 2022. - 896 с. - ISBN 978-5-9704-6594-3.</w:t>
        <w:br/>
        <w:br/>
      </w:r>
      <w:hyperlink r:id="rId38">
        <w:r>
          <w:rPr>
            <w:color w:val="173C49"/>
            <w:u w:val="single"/>
          </w:rPr>
          <w:t>(1)</w:t>
        </w:r>
      </w:hyperlink>
    </w:p>
    <w:p>
      <w:r>
        <w:drawing>
          <wp:inline xmlns:a="http://schemas.openxmlformats.org/drawingml/2006/main" xmlns:pic="http://schemas.openxmlformats.org/drawingml/2006/picture">
            <wp:extent cx="5303520" cy="2923565"/>
            <wp:docPr id="17" name="Picture 17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826ad310f67bc46d3e38737fa91af98e2f0a57d6.jpg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92356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Таблица5.png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Пульмонология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53230/?anchor=paragraph_7t39hj#paragraph_7t39hj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ISBN9785970465943/?anchor=list_item_7p63td#list_item_7p63td" TargetMode="External"/><Relationship Id="rId23" Type="http://schemas.openxmlformats.org/officeDocument/2006/relationships/hyperlink" Target="https://library.mededtech.ru/rest/documents/ISBN9785970453230/?anchor=paragraph_a9c2h2#paragraph_a9c2h2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ISBN9785970465943/?anchor=paragraph_7mja9b#paragraph_7mja9b" TargetMode="External"/><Relationship Id="rId26" Type="http://schemas.openxmlformats.org/officeDocument/2006/relationships/hyperlink" Target="https://library.mededtech.ru/rest/documents/ISBN9785970465943/?anchor=list_item_g7bts9#list_item_g7bts9" TargetMode="External"/><Relationship Id="rId27" Type="http://schemas.openxmlformats.org/officeDocument/2006/relationships/hyperlink" Target="https://library.mededtech.ru/rest/documents/ISBN9785970453230/?anchor=list_item_he36hg#list_item_he36hg" TargetMode="External"/><Relationship Id="rId28" Type="http://schemas.openxmlformats.org/officeDocument/2006/relationships/hyperlink" Target="https://library.mededtech.ru/rest/documents/ISBN9785970453230/?anchor=paragraph_912dfc#paragraph_912dfc" TargetMode="External"/><Relationship Id="rId29" Type="http://schemas.openxmlformats.org/officeDocument/2006/relationships/hyperlink" Target="https://library.mededtech.ru/rest/documents/ISBN9785970465943/?anchor=paragraph_6ort14#paragraph_6ort14" TargetMode="External"/><Relationship Id="rId30" Type="http://schemas.openxmlformats.org/officeDocument/2006/relationships/hyperlink" Target="https://library.mededtech.ru/rest/documents/ISBN9785970453230/?anchor=paragraph_n813n8#paragraph_n813n8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ISBN9785970465943/?anchor=list_item_kk0q1f#list_item_kk0q1f" TargetMode="External"/><Relationship Id="rId33" Type="http://schemas.openxmlformats.org/officeDocument/2006/relationships/hyperlink" Target="https://library.mededtech.ru/rest/documents/ISBN9785970453230/?anchor=paragraph_o1qgur#paragraph_o1qgur" TargetMode="External"/><Relationship Id="rId34" Type="http://schemas.openxmlformats.org/officeDocument/2006/relationships/hyperlink" Target="https://library.mededtech.ru/rest/documents/ISBN9785970452189/?anchor=paragraph_bf2b3f#paragraph_bf2b3f" TargetMode="External"/><Relationship Id="rId35" Type="http://schemas.openxmlformats.org/officeDocument/2006/relationships/hyperlink" Target="https://library.mededtech.ru/rest/documents/ISBN9785970453230/?anchor=paragraph_9jv0qa#paragraph_9jv0qa" TargetMode="External"/><Relationship Id="rId36" Type="http://schemas.openxmlformats.org/officeDocument/2006/relationships/hyperlink" Target="https://library.mededtech.ru/rest/documents/pe2015/" TargetMode="External"/><Relationship Id="rId37" Type="http://schemas.openxmlformats.org/officeDocument/2006/relationships/hyperlink" Target="https://library.mededtech.ru/rest/documents/pe2015/#paragraph_7mnvcg" TargetMode="External"/><Relationship Id="rId38" Type="http://schemas.openxmlformats.org/officeDocument/2006/relationships/hyperlink" Target="https://library.mededtech.ru/rest/documents/ISBN9785970465943/?anchor=list_item_ciunee#list_item_ciunee" TargetMode="External"/><Relationship Id="rId39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